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32E" w:rsidRDefault="00DF632E">
      <w:pPr>
        <w:rPr>
          <w:rFonts w:ascii="新細明體" w:hint="eastAsia"/>
        </w:rPr>
      </w:pPr>
    </w:p>
    <w:p w:rsidR="00DF632E" w:rsidRDefault="00DF632E">
      <w:pPr>
        <w:pStyle w:val="a3"/>
        <w:snapToGrid w:val="0"/>
        <w:spacing w:line="280" w:lineRule="atLeast"/>
        <w:rPr>
          <w:rFonts w:hint="eastAsia"/>
        </w:rPr>
      </w:pPr>
      <w:r>
        <w:rPr>
          <w:rFonts w:hint="eastAsia"/>
        </w:rPr>
        <w:t>Tariff Rule Filing Request</w:t>
      </w:r>
    </w:p>
    <w:p w:rsidR="00DF632E" w:rsidRDefault="00DF632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DF632E">
        <w:tc>
          <w:tcPr>
            <w:tcW w:w="4181" w:type="dxa"/>
          </w:tcPr>
          <w:p w:rsidR="00DF632E" w:rsidRPr="00372F1E" w:rsidRDefault="00DF632E">
            <w:pPr>
              <w:rPr>
                <w:rFonts w:hint="eastAsia"/>
              </w:rPr>
            </w:pPr>
            <w:r w:rsidRPr="00372F1E">
              <w:rPr>
                <w:rFonts w:hint="eastAsia"/>
                <w:b/>
                <w:sz w:val="20"/>
              </w:rPr>
              <w:t>Tariff Number</w:t>
            </w:r>
          </w:p>
        </w:tc>
        <w:tc>
          <w:tcPr>
            <w:tcW w:w="4181" w:type="dxa"/>
          </w:tcPr>
          <w:p w:rsidR="00DF632E" w:rsidRPr="00372F1E" w:rsidRDefault="00DF632E">
            <w:r w:rsidRPr="00372F1E">
              <w:rPr>
                <w:rFonts w:hint="eastAsia"/>
                <w:b/>
                <w:sz w:val="20"/>
              </w:rPr>
              <w:t>07</w:t>
            </w:r>
            <w:r w:rsidR="00372F1E" w:rsidRPr="00372F1E">
              <w:rPr>
                <w:rFonts w:hint="eastAsia"/>
                <w:b/>
                <w:sz w:val="20"/>
              </w:rPr>
              <w:t>1</w:t>
            </w:r>
          </w:p>
        </w:tc>
      </w:tr>
      <w:tr w:rsidR="00DF632E">
        <w:tc>
          <w:tcPr>
            <w:tcW w:w="4181" w:type="dxa"/>
          </w:tcPr>
          <w:p w:rsidR="00DF632E" w:rsidRPr="00372F1E" w:rsidRDefault="00DF632E">
            <w:pPr>
              <w:rPr>
                <w:rFonts w:hint="eastAsia"/>
              </w:rPr>
            </w:pPr>
            <w:r w:rsidRPr="00372F1E">
              <w:rPr>
                <w:rFonts w:hint="eastAsia"/>
                <w:b/>
                <w:sz w:val="20"/>
              </w:rPr>
              <w:t>Rule Number</w:t>
            </w:r>
          </w:p>
        </w:tc>
        <w:tc>
          <w:tcPr>
            <w:tcW w:w="4181" w:type="dxa"/>
          </w:tcPr>
          <w:p w:rsidR="00DF632E" w:rsidRPr="00372F1E" w:rsidRDefault="00E7665B">
            <w:pPr>
              <w:snapToGrid w:val="0"/>
              <w:spacing w:line="280" w:lineRule="atLeas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7</w:t>
            </w:r>
            <w:r w:rsidR="00661FF5">
              <w:rPr>
                <w:rFonts w:hint="eastAsia"/>
                <w:b/>
                <w:bCs/>
              </w:rPr>
              <w:t>-01</w:t>
            </w:r>
          </w:p>
        </w:tc>
      </w:tr>
      <w:tr w:rsidR="00DF632E">
        <w:tc>
          <w:tcPr>
            <w:tcW w:w="4181" w:type="dxa"/>
          </w:tcPr>
          <w:p w:rsidR="00DF632E" w:rsidRPr="0027123D" w:rsidRDefault="00DF632E">
            <w:pPr>
              <w:rPr>
                <w:rFonts w:hint="eastAsia"/>
                <w:b/>
                <w:sz w:val="20"/>
              </w:rPr>
            </w:pPr>
            <w:r w:rsidRPr="00372F1E">
              <w:rPr>
                <w:rFonts w:hint="eastAsia"/>
                <w:b/>
                <w:sz w:val="20"/>
              </w:rPr>
              <w:t>Rule Name</w:t>
            </w:r>
          </w:p>
        </w:tc>
        <w:tc>
          <w:tcPr>
            <w:tcW w:w="4181" w:type="dxa"/>
          </w:tcPr>
          <w:p w:rsidR="00DF632E" w:rsidRPr="0027123D" w:rsidRDefault="00661FF5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27123D">
              <w:rPr>
                <w:b/>
                <w:sz w:val="20"/>
              </w:rPr>
              <w:t>Definitions</w:t>
            </w:r>
          </w:p>
        </w:tc>
      </w:tr>
      <w:tr w:rsidR="00DF632E">
        <w:tc>
          <w:tcPr>
            <w:tcW w:w="4181" w:type="dxa"/>
          </w:tcPr>
          <w:p w:rsidR="00DF632E" w:rsidRPr="00372F1E" w:rsidRDefault="00DF632E">
            <w:pPr>
              <w:rPr>
                <w:rFonts w:hint="eastAsia"/>
              </w:rPr>
            </w:pPr>
            <w:r w:rsidRPr="00372F1E">
              <w:rPr>
                <w:rFonts w:hint="eastAsia"/>
                <w:b/>
                <w:sz w:val="20"/>
              </w:rPr>
              <w:t>Trade</w:t>
            </w:r>
          </w:p>
        </w:tc>
        <w:tc>
          <w:tcPr>
            <w:tcW w:w="4181" w:type="dxa"/>
          </w:tcPr>
          <w:p w:rsidR="00DF632E" w:rsidRPr="00372F1E" w:rsidRDefault="00DF632E">
            <w:pPr>
              <w:snapToGrid w:val="0"/>
              <w:spacing w:line="280" w:lineRule="atLeast"/>
              <w:rPr>
                <w:b/>
                <w:sz w:val="20"/>
              </w:rPr>
            </w:pPr>
          </w:p>
        </w:tc>
      </w:tr>
      <w:tr w:rsidR="00DF632E">
        <w:tc>
          <w:tcPr>
            <w:tcW w:w="4181" w:type="dxa"/>
          </w:tcPr>
          <w:p w:rsidR="00DF632E" w:rsidRPr="00372F1E" w:rsidRDefault="00DF632E">
            <w:pPr>
              <w:rPr>
                <w:rFonts w:hint="eastAsia"/>
              </w:rPr>
            </w:pPr>
            <w:r w:rsidRPr="00372F1E">
              <w:rPr>
                <w:b/>
                <w:sz w:val="20"/>
              </w:rPr>
              <w:t>Assessorial</w:t>
            </w:r>
          </w:p>
        </w:tc>
        <w:tc>
          <w:tcPr>
            <w:tcW w:w="4181" w:type="dxa"/>
          </w:tcPr>
          <w:p w:rsidR="00DF632E" w:rsidRPr="00372F1E" w:rsidRDefault="00DF632E"/>
        </w:tc>
      </w:tr>
      <w:tr w:rsidR="0027123D">
        <w:tc>
          <w:tcPr>
            <w:tcW w:w="4181" w:type="dxa"/>
          </w:tcPr>
          <w:p w:rsidR="0027123D" w:rsidRPr="00372F1E" w:rsidRDefault="0027123D" w:rsidP="0027123D">
            <w:pPr>
              <w:rPr>
                <w:rFonts w:hint="eastAsia"/>
              </w:rPr>
            </w:pPr>
            <w:r w:rsidRPr="00372F1E">
              <w:rPr>
                <w:rFonts w:hint="eastAsia"/>
                <w:b/>
                <w:sz w:val="20"/>
              </w:rPr>
              <w:t>Filing Date</w:t>
            </w:r>
          </w:p>
        </w:tc>
        <w:tc>
          <w:tcPr>
            <w:tcW w:w="4181" w:type="dxa"/>
          </w:tcPr>
          <w:p w:rsidR="0027123D" w:rsidRPr="002D5620" w:rsidRDefault="0027123D" w:rsidP="0027123D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20</w:t>
            </w:r>
            <w:r w:rsidRPr="002D5620">
              <w:rPr>
                <w:b/>
                <w:color w:val="000000"/>
                <w:sz w:val="20"/>
              </w:rPr>
              <w:t>21/6/15</w:t>
            </w:r>
          </w:p>
        </w:tc>
      </w:tr>
      <w:tr w:rsidR="0027123D">
        <w:tc>
          <w:tcPr>
            <w:tcW w:w="4181" w:type="dxa"/>
          </w:tcPr>
          <w:p w:rsidR="0027123D" w:rsidRPr="00372F1E" w:rsidRDefault="0027123D" w:rsidP="0027123D">
            <w:pPr>
              <w:rPr>
                <w:rFonts w:hint="eastAsia"/>
              </w:rPr>
            </w:pPr>
            <w:r w:rsidRPr="00372F1E">
              <w:rPr>
                <w:rFonts w:hint="eastAsia"/>
                <w:b/>
                <w:sz w:val="20"/>
              </w:rPr>
              <w:t>Effective Date</w:t>
            </w:r>
          </w:p>
        </w:tc>
        <w:tc>
          <w:tcPr>
            <w:tcW w:w="4181" w:type="dxa"/>
          </w:tcPr>
          <w:p w:rsidR="0027123D" w:rsidRPr="002D5620" w:rsidRDefault="0027123D" w:rsidP="0027123D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20</w:t>
            </w:r>
            <w:r w:rsidRPr="002D5620">
              <w:rPr>
                <w:b/>
                <w:color w:val="000000"/>
                <w:sz w:val="20"/>
              </w:rPr>
              <w:t>21/7/15</w:t>
            </w:r>
          </w:p>
        </w:tc>
      </w:tr>
      <w:tr w:rsidR="00DF632E">
        <w:tc>
          <w:tcPr>
            <w:tcW w:w="4181" w:type="dxa"/>
          </w:tcPr>
          <w:p w:rsidR="00DF632E" w:rsidRPr="00372F1E" w:rsidRDefault="00DF632E">
            <w:pPr>
              <w:rPr>
                <w:rFonts w:hint="eastAsia"/>
                <w:b/>
                <w:sz w:val="20"/>
              </w:rPr>
            </w:pPr>
            <w:r w:rsidRPr="00372F1E">
              <w:rPr>
                <w:rFonts w:hint="eastAsia"/>
                <w:b/>
                <w:sz w:val="20"/>
              </w:rPr>
              <w:t>Status</w:t>
            </w:r>
          </w:p>
        </w:tc>
        <w:tc>
          <w:tcPr>
            <w:tcW w:w="4181" w:type="dxa"/>
          </w:tcPr>
          <w:p w:rsidR="00DF632E" w:rsidRPr="00372F1E" w:rsidRDefault="00372F1E">
            <w:pPr>
              <w:snapToGrid w:val="0"/>
              <w:spacing w:line="280" w:lineRule="atLeast"/>
              <w:rPr>
                <w:b/>
                <w:sz w:val="20"/>
              </w:rPr>
            </w:pPr>
            <w:r w:rsidRPr="00372F1E">
              <w:rPr>
                <w:rFonts w:hint="eastAsia"/>
                <w:b/>
                <w:sz w:val="20"/>
              </w:rPr>
              <w:t>I</w:t>
            </w:r>
          </w:p>
        </w:tc>
      </w:tr>
      <w:tr w:rsidR="0027123D">
        <w:tc>
          <w:tcPr>
            <w:tcW w:w="4181" w:type="dxa"/>
          </w:tcPr>
          <w:p w:rsidR="0027123D" w:rsidRPr="00372F1E" w:rsidRDefault="0027123D"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Expiration Date</w:t>
            </w:r>
          </w:p>
        </w:tc>
        <w:tc>
          <w:tcPr>
            <w:tcW w:w="4181" w:type="dxa"/>
          </w:tcPr>
          <w:p w:rsidR="0027123D" w:rsidRPr="00372F1E" w:rsidRDefault="0027123D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</w:p>
        </w:tc>
      </w:tr>
    </w:tbl>
    <w:p w:rsidR="0027123D" w:rsidRDefault="0027123D" w:rsidP="00661FF5">
      <w:pPr>
        <w:rPr>
          <w:rFonts w:ascii="Courier New" w:hAnsi="Courier New" w:cs="Courier New"/>
          <w:b/>
          <w:sz w:val="20"/>
        </w:rPr>
      </w:pP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b/>
          <w:sz w:val="20"/>
        </w:rPr>
        <w:t>Rule Content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The following words whether contained on the front or back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hereof have the meanings hereby assigned: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(a) "Carriage" means the whole or any part of the operations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and services undertaken by the Carrier in respect of the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Goods covered by this Bill of Lading.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(b) "Carrier" means </w:t>
      </w:r>
      <w:r w:rsidR="00F6415B" w:rsidRPr="00F6415B">
        <w:rPr>
          <w:rFonts w:ascii="Courier New" w:hAnsi="Courier New" w:cs="Courier New"/>
          <w:sz w:val="20"/>
        </w:rPr>
        <w:t>YANG MING MARINE TRANSPORT CORPORATION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("Yang Ming").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(c) "Container" includes any ISO standard container,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trailer, transportable tank, flat rack and/or other item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of transportation equipment in conformance with ISO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standards.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(d) "Freight" includes all charges payable to the Carrier in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accordance with the applicable Tariff and this Bill of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Lading.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(e) "Goods" means the whole or any part of the cargo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received from the Merchant and includes any equipment or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Container(s) not supplied by or on behalf of the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Carrier.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lastRenderedPageBreak/>
        <w:t xml:space="preserve">             (f) "Holder" means any Person for the time being in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possession of this Bill of Lading to whom the property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in the Goods has passed on, or by reason of, the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consignment of the Goods or the endorsement of this Bill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of Lading or otherwise.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(g) "Merchant" includes the shipper, Holder, consignee or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receiver of the Goods or any Person owning or entitled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to the possession of the Goods or this Bill of Lading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and anyone acting on behalf of any such Person.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(h) "Multimodal Transport" arises if the Place of Receipt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and/or the Place of Delivery are indicated on the face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hereof in the relevant spaces.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(i) "Person" includes an individual, group, company or other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entity.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(j) "Port-to-Port" arises if the Carriage is not Multimodal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Transport.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(k) "Sub-Contractor" includes owners and operators of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Vessels (other than the Carrier), slot chartered owners,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stevedores, terminal and groupage operators, Underlying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Carriers and any independent contractor employed by the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Carrier in performance of the Carriage.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(l) "Underlying Carrier" includes any water, rail, motor,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air or other carrier utilized by the Carrier for any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part of the transportation of the shipment covered by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this Bill of Lading.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(m) "Vessel" includes the Vessel named on the face hereof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together with any ship, craft, lighter, barge,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feedership, ferry or other means of transportation</w:t>
      </w:r>
    </w:p>
    <w:p w:rsidR="00661FF5" w:rsidRPr="003518C2" w:rsidRDefault="00661FF5" w:rsidP="00661FF5">
      <w:pPr>
        <w:rPr>
          <w:rFonts w:ascii="Courier New" w:hAnsi="Courier New" w:cs="Courier New"/>
          <w:sz w:val="20"/>
        </w:rPr>
      </w:pPr>
      <w:r w:rsidRPr="003518C2">
        <w:rPr>
          <w:rFonts w:ascii="Courier New" w:hAnsi="Courier New" w:cs="Courier New"/>
          <w:sz w:val="20"/>
        </w:rPr>
        <w:t xml:space="preserve">                 substitute in whole or in part, for the Vessel named on</w:t>
      </w:r>
    </w:p>
    <w:p w:rsidR="00077B87" w:rsidRPr="00E7665B" w:rsidRDefault="00661FF5" w:rsidP="00661FF5">
      <w:pPr>
        <w:pStyle w:val="HTML"/>
        <w:rPr>
          <w:rFonts w:ascii="Courier New" w:hAnsi="Courier New" w:cs="Courier New"/>
        </w:rPr>
      </w:pPr>
      <w:r w:rsidRPr="003518C2">
        <w:rPr>
          <w:rFonts w:ascii="Courier New" w:hAnsi="Courier New" w:cs="Courier New"/>
        </w:rPr>
        <w:t xml:space="preserve">                 the face hereof.</w:t>
      </w:r>
    </w:p>
    <w:sectPr w:rsidR="00077B87" w:rsidRPr="00E766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042" w:rsidRDefault="007C1042" w:rsidP="00372F1E">
      <w:r>
        <w:separator/>
      </w:r>
    </w:p>
  </w:endnote>
  <w:endnote w:type="continuationSeparator" w:id="0">
    <w:p w:rsidR="007C1042" w:rsidRDefault="007C1042" w:rsidP="0037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042" w:rsidRDefault="007C1042" w:rsidP="00372F1E">
      <w:r>
        <w:separator/>
      </w:r>
    </w:p>
  </w:footnote>
  <w:footnote w:type="continuationSeparator" w:id="0">
    <w:p w:rsidR="007C1042" w:rsidRDefault="007C1042" w:rsidP="0037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32E"/>
    <w:rsid w:val="00077B87"/>
    <w:rsid w:val="00214334"/>
    <w:rsid w:val="0027123D"/>
    <w:rsid w:val="00372F1E"/>
    <w:rsid w:val="00454B51"/>
    <w:rsid w:val="005727AD"/>
    <w:rsid w:val="00661FF5"/>
    <w:rsid w:val="006761B6"/>
    <w:rsid w:val="006E0683"/>
    <w:rsid w:val="007C1042"/>
    <w:rsid w:val="007F05B0"/>
    <w:rsid w:val="0081564F"/>
    <w:rsid w:val="00843CE3"/>
    <w:rsid w:val="008C1CFF"/>
    <w:rsid w:val="00A87238"/>
    <w:rsid w:val="00AA11E9"/>
    <w:rsid w:val="00B818DE"/>
    <w:rsid w:val="00CE12D9"/>
    <w:rsid w:val="00D96F26"/>
    <w:rsid w:val="00DE3FC1"/>
    <w:rsid w:val="00DF632E"/>
    <w:rsid w:val="00E7665B"/>
    <w:rsid w:val="00F20F9C"/>
    <w:rsid w:val="00F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8B3D0FE-6122-45C6-82EB-A50495FA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5">
    <w:name w:val="header"/>
    <w:basedOn w:val="a"/>
    <w:link w:val="a6"/>
    <w:rsid w:val="00372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72F1E"/>
    <w:rPr>
      <w:kern w:val="2"/>
    </w:rPr>
  </w:style>
  <w:style w:type="paragraph" w:styleId="a7">
    <w:name w:val="footer"/>
    <w:basedOn w:val="a"/>
    <w:link w:val="a8"/>
    <w:rsid w:val="00372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72F1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>YML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